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vertAlign w:val="baseline"/>
        </w:rPr>
      </w:pPr>
      <w:r w:rsidDel="00000000" w:rsidR="00000000" w:rsidRPr="00000000">
        <w:rPr>
          <w:rtl w:val="0"/>
        </w:rPr>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Meђународне студије, модул: Европске студије</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Институције и процеси одлучивања у ЕУ</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доц. др Чупић Зоран, Иван Миловановић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изборни</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Упоредо са развојем процеса европске интеграције текао је и паралелни процес пројектовања и изградње институционалног модела уподобљеног(мање или више успешно) особеном (</w:t>
            </w:r>
            <w:r w:rsidDel="00000000" w:rsidR="00000000" w:rsidRPr="00000000">
              <w:rPr>
                <w:rFonts w:ascii="Times New Roman" w:cs="Times New Roman" w:eastAsia="Times New Roman" w:hAnsi="Times New Roman"/>
                <w:i w:val="1"/>
                <w:sz w:val="20"/>
                <w:szCs w:val="20"/>
                <w:vertAlign w:val="baseline"/>
                <w:rtl w:val="0"/>
              </w:rPr>
              <w:t xml:space="preserve">sui generis</w:t>
            </w:r>
            <w:r w:rsidDel="00000000" w:rsidR="00000000" w:rsidRPr="00000000">
              <w:rPr>
                <w:rFonts w:ascii="Times New Roman" w:cs="Times New Roman" w:eastAsia="Times New Roman" w:hAnsi="Times New Roman"/>
                <w:sz w:val="20"/>
                <w:szCs w:val="20"/>
                <w:vertAlign w:val="baseline"/>
                <w:rtl w:val="0"/>
              </w:rPr>
              <w:t xml:space="preserve">) политичком систему какав је Европска унија. У складу с тим, циљ овог предмета је да, што је прецизније могуће, одговори на питање ко и на који начин влада (управља) Европском унијом? У складу са схватањем ЕУ као политичког система, одговор(и) на постављено питање тражиће се на оси хоризонталне и вертикалне поделе власти. Посебна пажња биће посвећена и концепту „управљања на више нивоа“, као једном од најчешћих приступа изучавању креирања политика на нивоу ЕУ. Предуслов за успешно остварење постављених циљева је детаљно познавање институција ЕУ, њихових међусобних односа и резултата који из тих односа проистичу. Пошто одлуке које се доносе на нивоу ЕУ имају изузетан утицај на свакодневни живот грађана држава чланица Уније, један од посебно значајних циљева овог предмета је, свакако, и утврђивање демократског квалитета, како институционалног аранжмана, тако и процеса одлучивања који из њега проистичу.</w:t>
            </w:r>
          </w:p>
          <w:p w:rsidR="00000000" w:rsidDel="00000000" w:rsidP="00000000" w:rsidRDefault="00000000" w:rsidRPr="00000000" w14:paraId="0000002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8">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Предмет ће омогућити студентима стицање продубљених знања о институционалном устројству Европске уније, како о свакој институцији посебно, тако и о динамици њихових међусобних односа и улога у процесима одлучивања унутер Уније. На основу стечених знања студенти ће бити у могућности да схвате, објасне и критички процене различите облике управљања и методе доношења одлука унутар ЕУ као специфичне политичке заједнице. </w:t>
            </w:r>
          </w:p>
          <w:p w:rsidR="00000000" w:rsidDel="00000000" w:rsidP="00000000" w:rsidRDefault="00000000" w:rsidRPr="00000000" w14:paraId="00000029">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F">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Европска унија као </w:t>
            </w:r>
            <w:r w:rsidDel="00000000" w:rsidR="00000000" w:rsidRPr="00000000">
              <w:rPr>
                <w:rFonts w:ascii="Times New Roman" w:cs="Times New Roman" w:eastAsia="Times New Roman" w:hAnsi="Times New Roman"/>
                <w:i w:val="1"/>
                <w:sz w:val="20"/>
                <w:szCs w:val="20"/>
                <w:vertAlign w:val="baseline"/>
                <w:rtl w:val="0"/>
              </w:rPr>
              <w:t xml:space="preserve">sui generis</w:t>
            </w:r>
            <w:r w:rsidDel="00000000" w:rsidR="00000000" w:rsidRPr="00000000">
              <w:rPr>
                <w:rFonts w:ascii="Times New Roman" w:cs="Times New Roman" w:eastAsia="Times New Roman" w:hAnsi="Times New Roman"/>
                <w:i w:val="0"/>
                <w:sz w:val="20"/>
                <w:szCs w:val="20"/>
                <w:vertAlign w:val="baseline"/>
                <w:rtl w:val="0"/>
              </w:rPr>
              <w:t xml:space="preserve"> политички систем – институционални оквир: законодавна, извршна и судска власт</w:t>
            </w:r>
          </w:p>
          <w:p w:rsidR="00000000" w:rsidDel="00000000" w:rsidP="00000000" w:rsidRDefault="00000000" w:rsidRPr="00000000" w14:paraId="00000030">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0"/>
                <w:sz w:val="20"/>
                <w:szCs w:val="20"/>
                <w:vertAlign w:val="baseline"/>
                <w:rtl w:val="0"/>
              </w:rPr>
              <w:t xml:space="preserve">- Европска комисија </w:t>
            </w:r>
          </w:p>
          <w:p w:rsidR="00000000" w:rsidDel="00000000" w:rsidP="00000000" w:rsidRDefault="00000000" w:rsidRPr="00000000" w14:paraId="00000031">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0"/>
                <w:sz w:val="20"/>
                <w:szCs w:val="20"/>
                <w:vertAlign w:val="baseline"/>
                <w:rtl w:val="0"/>
              </w:rPr>
              <w:t xml:space="preserve">- Европски парламент</w:t>
            </w:r>
          </w:p>
          <w:p w:rsidR="00000000" w:rsidDel="00000000" w:rsidP="00000000" w:rsidRDefault="00000000" w:rsidRPr="00000000" w14:paraId="00000032">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0"/>
                <w:sz w:val="20"/>
                <w:szCs w:val="20"/>
                <w:vertAlign w:val="baseline"/>
                <w:rtl w:val="0"/>
              </w:rPr>
              <w:t xml:space="preserve">- Савет</w:t>
            </w:r>
          </w:p>
          <w:p w:rsidR="00000000" w:rsidDel="00000000" w:rsidP="00000000" w:rsidRDefault="00000000" w:rsidRPr="00000000" w14:paraId="00000033">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0"/>
                <w:sz w:val="20"/>
                <w:szCs w:val="20"/>
                <w:vertAlign w:val="baseline"/>
                <w:rtl w:val="0"/>
              </w:rPr>
              <w:t xml:space="preserve">- Европски савет</w:t>
            </w:r>
          </w:p>
          <w:p w:rsidR="00000000" w:rsidDel="00000000" w:rsidP="00000000" w:rsidRDefault="00000000" w:rsidRPr="00000000" w14:paraId="00000034">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0"/>
                <w:sz w:val="20"/>
                <w:szCs w:val="20"/>
                <w:vertAlign w:val="baseline"/>
                <w:rtl w:val="0"/>
              </w:rPr>
              <w:t xml:space="preserve">- Суд правде Европске уније</w:t>
            </w:r>
          </w:p>
          <w:p w:rsidR="00000000" w:rsidDel="00000000" w:rsidP="00000000" w:rsidRDefault="00000000" w:rsidRPr="00000000" w14:paraId="00000035">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0"/>
                <w:sz w:val="20"/>
                <w:szCs w:val="20"/>
                <w:vertAlign w:val="baseline"/>
                <w:rtl w:val="0"/>
              </w:rPr>
              <w:t xml:space="preserve">- Европска централна банка</w:t>
            </w:r>
          </w:p>
          <w:p w:rsidR="00000000" w:rsidDel="00000000" w:rsidP="00000000" w:rsidRDefault="00000000" w:rsidRPr="00000000" w14:paraId="00000036">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0"/>
                <w:sz w:val="20"/>
                <w:szCs w:val="20"/>
                <w:vertAlign w:val="baseline"/>
                <w:rtl w:val="0"/>
              </w:rPr>
              <w:t xml:space="preserve">- Агенције ЕУ</w:t>
            </w:r>
          </w:p>
          <w:p w:rsidR="00000000" w:rsidDel="00000000" w:rsidP="00000000" w:rsidRDefault="00000000" w:rsidRPr="00000000" w14:paraId="0000003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0"/>
                <w:sz w:val="20"/>
                <w:szCs w:val="20"/>
                <w:vertAlign w:val="baseline"/>
                <w:rtl w:val="0"/>
              </w:rPr>
              <w:t xml:space="preserve">♦ Европска унија као (не)демократска политичка заједница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D">
            <w:pPr>
              <w:pBdr>
                <w:bottom w:color="000000" w:space="1" w:sz="6" w:val="single"/>
              </w:pBdr>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3E">
            <w:pPr>
              <w:pBdr>
                <w:top w:color="000000" w:space="1" w:sz="6" w:val="single"/>
              </w:pBdr>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3F">
            <w:pPr>
              <w:pStyle w:val="Heading1"/>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Wallace Helen, Young Alasdair, Pollack Mark, Roederer Rynning Christilla (eds.), </w:t>
            </w:r>
            <w:r w:rsidDel="00000000" w:rsidR="00000000" w:rsidRPr="00000000">
              <w:rPr>
                <w:rFonts w:ascii="Times New Roman" w:cs="Times New Roman" w:eastAsia="Times New Roman" w:hAnsi="Times New Roman"/>
                <w:b w:val="0"/>
                <w:i w:val="1"/>
                <w:sz w:val="20"/>
                <w:szCs w:val="20"/>
                <w:vertAlign w:val="baseline"/>
                <w:rtl w:val="0"/>
              </w:rPr>
              <w:t xml:space="preserve">Policy-Making in the European Union</w:t>
            </w:r>
            <w:r w:rsidDel="00000000" w:rsidR="00000000" w:rsidRPr="00000000">
              <w:rPr>
                <w:rFonts w:ascii="Times New Roman" w:cs="Times New Roman" w:eastAsia="Times New Roman" w:hAnsi="Times New Roman"/>
                <w:b w:val="0"/>
                <w:sz w:val="20"/>
                <w:szCs w:val="20"/>
                <w:vertAlign w:val="baseline"/>
                <w:rtl w:val="0"/>
              </w:rPr>
              <w:t xml:space="preserve">, </w:t>
            </w:r>
            <w:hyperlink r:id="rId7">
              <w:r w:rsidDel="00000000" w:rsidR="00000000" w:rsidRPr="00000000">
                <w:rPr>
                  <w:rFonts w:ascii="Times New Roman" w:cs="Times New Roman" w:eastAsia="Times New Roman" w:hAnsi="Times New Roman"/>
                  <w:b w:val="0"/>
                  <w:color w:val="000000"/>
                  <w:sz w:val="20"/>
                  <w:szCs w:val="20"/>
                  <w:u w:val="none"/>
                  <w:vertAlign w:val="baseline"/>
                  <w:rtl w:val="0"/>
                </w:rPr>
                <w:t xml:space="preserve">Oxford University Press</w:t>
              </w:r>
            </w:hyperlink>
            <w:r w:rsidDel="00000000" w:rsidR="00000000" w:rsidRPr="00000000">
              <w:rPr>
                <w:rFonts w:ascii="Times New Roman" w:cs="Times New Roman" w:eastAsia="Times New Roman" w:hAnsi="Times New Roman"/>
                <w:b w:val="0"/>
                <w:sz w:val="20"/>
                <w:szCs w:val="20"/>
                <w:vertAlign w:val="baseline"/>
                <w:rtl w:val="0"/>
              </w:rPr>
              <w:t xml:space="preserve">, 2020.</w:t>
            </w:r>
          </w:p>
          <w:p w:rsidR="00000000" w:rsidDel="00000000" w:rsidP="00000000" w:rsidRDefault="00000000" w:rsidRPr="00000000" w14:paraId="00000040">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2. Neill Nugent, </w:t>
            </w:r>
            <w:r w:rsidDel="00000000" w:rsidR="00000000" w:rsidRPr="00000000">
              <w:rPr>
                <w:rFonts w:ascii="Times New Roman" w:cs="Times New Roman" w:eastAsia="Times New Roman" w:hAnsi="Times New Roman"/>
                <w:i w:val="1"/>
                <w:sz w:val="20"/>
                <w:szCs w:val="20"/>
                <w:vertAlign w:val="baseline"/>
                <w:rtl w:val="0"/>
              </w:rPr>
              <w:t xml:space="preserve">The Government and Politics of the European Union</w:t>
            </w:r>
            <w:r w:rsidDel="00000000" w:rsidR="00000000" w:rsidRPr="00000000">
              <w:rPr>
                <w:rFonts w:ascii="Times New Roman" w:cs="Times New Roman" w:eastAsia="Times New Roman" w:hAnsi="Times New Roman"/>
                <w:sz w:val="20"/>
                <w:szCs w:val="20"/>
                <w:vertAlign w:val="baseline"/>
                <w:rtl w:val="0"/>
              </w:rPr>
              <w:t xml:space="preserve">, Palgrave, London, 2017.</w:t>
            </w:r>
          </w:p>
          <w:p w:rsidR="00000000" w:rsidDel="00000000" w:rsidP="00000000" w:rsidRDefault="00000000" w:rsidRPr="00000000" w14:paraId="0000004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3. Edward Best, </w:t>
            </w:r>
            <w:r w:rsidDel="00000000" w:rsidR="00000000" w:rsidRPr="00000000">
              <w:rPr>
                <w:rFonts w:ascii="Times New Roman" w:cs="Times New Roman" w:eastAsia="Times New Roman" w:hAnsi="Times New Roman"/>
                <w:i w:val="1"/>
                <w:sz w:val="20"/>
                <w:szCs w:val="20"/>
                <w:vertAlign w:val="baseline"/>
                <w:rtl w:val="0"/>
              </w:rPr>
              <w:t xml:space="preserve">Understanding EU Decision-Making</w:t>
            </w:r>
            <w:r w:rsidDel="00000000" w:rsidR="00000000" w:rsidRPr="00000000">
              <w:rPr>
                <w:rFonts w:ascii="Times New Roman" w:cs="Times New Roman" w:eastAsia="Times New Roman" w:hAnsi="Times New Roman"/>
                <w:sz w:val="20"/>
                <w:szCs w:val="20"/>
                <w:vertAlign w:val="baseline"/>
                <w:rtl w:val="0"/>
              </w:rPr>
              <w:t xml:space="preserve">, Springer, 2016.</w:t>
            </w:r>
          </w:p>
          <w:p w:rsidR="00000000" w:rsidDel="00000000" w:rsidP="00000000" w:rsidRDefault="00000000" w:rsidRPr="00000000" w14:paraId="00000042">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4. Andrea Biondi, Piet Eeckhout, Stefanie Ripley(eds.), </w:t>
            </w:r>
            <w:r w:rsidDel="00000000" w:rsidR="00000000" w:rsidRPr="00000000">
              <w:rPr>
                <w:rFonts w:ascii="Times New Roman" w:cs="Times New Roman" w:eastAsia="Times New Roman" w:hAnsi="Times New Roman"/>
                <w:i w:val="1"/>
                <w:sz w:val="20"/>
                <w:szCs w:val="20"/>
                <w:vertAlign w:val="baseline"/>
                <w:rtl w:val="0"/>
              </w:rPr>
              <w:t xml:space="preserve">EU Law After Lisbon</w:t>
            </w:r>
            <w:r w:rsidDel="00000000" w:rsidR="00000000" w:rsidRPr="00000000">
              <w:rPr>
                <w:rFonts w:ascii="Times New Roman" w:cs="Times New Roman" w:eastAsia="Times New Roman" w:hAnsi="Times New Roman"/>
                <w:sz w:val="20"/>
                <w:szCs w:val="20"/>
                <w:vertAlign w:val="baseline"/>
                <w:rtl w:val="0"/>
              </w:rPr>
              <w:t xml:space="preserve">, Oxford University Press, 2012.</w:t>
            </w:r>
          </w:p>
        </w:tc>
      </w:tr>
      <w:tr>
        <w:trPr>
          <w:trHeight w:val="227" w:hRule="atLeast"/>
        </w:trPr>
        <w:tc>
          <w:tcPr>
            <w:vAlign w:val="center"/>
          </w:tcPr>
          <w:p w:rsidR="00000000" w:rsidDel="00000000" w:rsidP="00000000" w:rsidRDefault="00000000" w:rsidRPr="00000000" w14:paraId="0000004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4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4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D">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предавања, вежбе, дискусије, консултације</w:t>
            </w:r>
          </w:p>
          <w:p w:rsidR="00000000" w:rsidDel="00000000" w:rsidP="00000000" w:rsidRDefault="00000000" w:rsidRPr="00000000" w14:paraId="0000004E">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53">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9">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5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E">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60">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62">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3">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4">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5">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6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8">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A">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6C">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D">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6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6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71">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72">
      <w:pPr>
        <w:rPr>
          <w:rFonts w:ascii="Times New Roman" w:cs="Times New Roman" w:eastAsia="Times New Roman" w:hAnsi="Times New Roman"/>
          <w:sz w:val="20"/>
          <w:szCs w:val="20"/>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sr-Cyr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spacing w:after="60" w:before="240" w:lineRule="auto"/>
    </w:pPr>
    <w:rPr>
      <w:rFonts w:ascii="Calibri" w:cs="Calibri" w:eastAsia="Calibri" w:hAnsi="Calibri"/>
      <w:b w:val="1"/>
      <w:sz w:val="28"/>
      <w:szCs w:val="28"/>
      <w:vertAlign w:val="baseline"/>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paragraph" w:styleId="Heading1">
    <w:name w:val="Heading 1"/>
    <w:basedOn w:val="Normal"/>
    <w:next w:val="Normal"/>
    <w:autoRedefine w:val="0"/>
    <w:hidden w:val="0"/>
    <w:qFormat w:val="0"/>
    <w:pPr>
      <w:keepNext w:val="1"/>
      <w:suppressAutoHyphens w:val="1"/>
      <w:spacing w:after="60" w:before="240" w:line="1" w:lineRule="atLeast"/>
      <w:ind w:leftChars="-1" w:rightChars="0" w:firstLineChars="-1"/>
      <w:textDirection w:val="btLr"/>
      <w:textAlignment w:val="top"/>
      <w:outlineLvl w:val="0"/>
    </w:pPr>
    <w:rPr>
      <w:rFonts w:ascii="Cambria" w:cs="Times New Roman" w:eastAsia="Times New Roman" w:hAnsi="Cambria"/>
      <w:b w:val="1"/>
      <w:bCs w:val="1"/>
      <w:w w:val="100"/>
      <w:kern w:val="32"/>
      <w:position w:val="-1"/>
      <w:sz w:val="32"/>
      <w:szCs w:val="32"/>
      <w:effect w:val="none"/>
      <w:vertAlign w:val="baseline"/>
      <w:cs w:val="0"/>
      <w:em w:val="none"/>
      <w:lang w:bidi="ar-SA" w:eastAsia="en-US" w:val="und"/>
    </w:rPr>
  </w:style>
  <w:style w:type="paragraph" w:styleId="Heading4">
    <w:name w:val="Heading 4"/>
    <w:basedOn w:val="Normal"/>
    <w:next w:val="Normal"/>
    <w:autoRedefine w:val="0"/>
    <w:hidden w:val="0"/>
    <w:qFormat w:val="1"/>
    <w:pPr>
      <w:keepNext w:val="1"/>
      <w:suppressAutoHyphens w:val="1"/>
      <w:spacing w:after="60" w:before="240" w:line="1" w:lineRule="atLeast"/>
      <w:ind w:leftChars="-1" w:rightChars="0" w:firstLineChars="-1"/>
      <w:textDirection w:val="btLr"/>
      <w:textAlignment w:val="top"/>
      <w:outlineLvl w:val="3"/>
    </w:pPr>
    <w:rPr>
      <w:rFonts w:ascii="Calibri" w:cs="Times New Roman" w:eastAsia="Times New Roman" w:hAnsi="Calibri"/>
      <w:b w:val="1"/>
      <w:bCs w:val="1"/>
      <w:w w:val="100"/>
      <w:position w:val="-1"/>
      <w:sz w:val="28"/>
      <w:szCs w:val="28"/>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character" w:styleId="Heading1Char">
    <w:name w:val="Heading 1 Char"/>
    <w:next w:val="Heading1Char"/>
    <w:autoRedefine w:val="0"/>
    <w:hidden w:val="0"/>
    <w:qFormat w:val="0"/>
    <w:rPr>
      <w:rFonts w:ascii="Cambria" w:cs="Times New Roman" w:eastAsia="Times New Roman" w:hAnsi="Cambria"/>
      <w:b w:val="1"/>
      <w:bCs w:val="1"/>
      <w:w w:val="100"/>
      <w:kern w:val="32"/>
      <w:position w:val="-1"/>
      <w:sz w:val="32"/>
      <w:szCs w:val="32"/>
      <w:effect w:val="none"/>
      <w:vertAlign w:val="baseline"/>
      <w:cs w:val="0"/>
      <w:em w:val="none"/>
      <w:lang w:val="und"/>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character" w:styleId="Heading4Char">
    <w:name w:val="Heading 4 Char"/>
    <w:next w:val="Heading4Char"/>
    <w:autoRedefine w:val="0"/>
    <w:hidden w:val="0"/>
    <w:qFormat w:val="0"/>
    <w:rPr>
      <w:rFonts w:ascii="Calibri" w:cs="Times New Roman" w:eastAsia="Times New Roman" w:hAnsi="Calibri"/>
      <w:b w:val="1"/>
      <w:bCs w:val="1"/>
      <w:w w:val="100"/>
      <w:position w:val="-1"/>
      <w:sz w:val="28"/>
      <w:szCs w:val="28"/>
      <w:effect w:val="none"/>
      <w:vertAlign w:val="baseline"/>
      <w:cs w:val="0"/>
      <w:em w:val="none"/>
      <w:lang w:val="und"/>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libeurop.eu/shop/publisher/oup-oxford-university-press-61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tBfRkaBIj2OlI3AGx4sIRNptaw==">AMUW2mXIfHTTvcL+fVrzVtyGUjZJ2CrdU+yqAdEh1xmbBgHUL8kAsJrdTksNzkItw7fySyxWfGtNds0fcj+F3GacJUIghOoUE+M4XqjQ1oaZr0Im22Zif54=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2021-04-26T21:12:00Z</dcterms:created>
  <dc:creator>ivana.sunderic</dc:creator>
</cp:coreProperties>
</file>

<file path=docProps/custom.xml><?xml version="1.0" encoding="utf-8"?>
<Properties xmlns="http://schemas.openxmlformats.org/officeDocument/2006/custom-properties" xmlns:vt="http://schemas.openxmlformats.org/officeDocument/2006/docPropsVTypes"/>
</file>